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09TtuloemendaCLG"/>
        <w:bidi w:val="0"/>
        <w:spacing w:before="480" w:after="360"/>
        <w:ind w:left="0" w:right="0" w:hanging="0"/>
        <w:jc w:val="left"/>
        <w:rPr/>
      </w:pPr>
      <w:r>
        <w:rPr>
          <w:sz w:val="32"/>
          <w:szCs w:val="32"/>
        </w:rPr>
        <w:t>PROJETO DE LEI DO SENADO Nº       , DE 2009 – COMPLEMENTAR</w:t>
      </w:r>
    </w:p>
    <w:p>
      <w:pPr>
        <w:pStyle w:val="06PargrafodetextoCLG"/>
        <w:bidi w:val="0"/>
        <w:ind w:left="3780" w:right="0" w:hanging="0"/>
        <w:jc w:val="lef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06PargrafodetextoCLG"/>
        <w:bidi w:val="0"/>
        <w:ind w:left="3780" w:right="0" w:hanging="0"/>
        <w:jc w:val="left"/>
        <w:rPr/>
      </w:pPr>
      <w:r>
        <w:rPr>
          <w:sz w:val="24"/>
          <w:szCs w:val="24"/>
        </w:rPr>
        <w:t>Altera a Lei Complementar nº 63, de 11 de janeiro de 1990, para modificar o prazo de publicação pelo Estado do valor adicionado para cálculo do Índice de Participação dos Municípios e a forma de cálculo do valor adicionado dos Municípios nas operações relativas à circulação de mercadorias e nas prestações de serviços, realizadas em seus territórios por microempresas e empresas de pequeno porte, e a Lei Complementar nº 123, de 14 de dezembro de 2006, para facilitar o processo de inscrição do microempreendedor individual, e dá outras providências.</w:t>
      </w:r>
    </w:p>
    <w:p>
      <w:pPr>
        <w:pStyle w:val="Normal"/>
        <w:bidi w:val="0"/>
        <w:ind w:left="0" w:right="0" w:firstLine="144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04RelatoriaCLG"/>
        <w:bidi w:val="0"/>
        <w:ind w:left="1440" w:right="0" w:hanging="0"/>
        <w:jc w:val="left"/>
        <w:rPr/>
      </w:pPr>
      <w:r>
        <w:rPr/>
        <w:t>O CONGRESSO NACIONAL decreta:</w:t>
      </w:r>
    </w:p>
    <w:p>
      <w:pPr>
        <w:pStyle w:val="NormalWeb"/>
        <w:bidi w:val="0"/>
        <w:spacing w:before="0" w:after="0"/>
        <w:ind w:left="0" w:right="0" w:firstLine="1440"/>
        <w:jc w:val="both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Art. 1º </w:t>
      </w:r>
      <w:r>
        <w:rPr>
          <w:rFonts w:cs="Times New Roman" w:ascii="Times New Roman" w:hAnsi="Times New Roman"/>
          <w:sz w:val="28"/>
          <w:szCs w:val="28"/>
        </w:rPr>
        <w:t xml:space="preserve">O art. 3º da Lei Complementar nº 63, de 11 de janeiro de 1990, passa a vigorar com a seguinte redação: </w:t>
      </w:r>
    </w:p>
    <w:p>
      <w:pPr>
        <w:pStyle w:val="NormalWeb"/>
        <w:bidi w:val="0"/>
        <w:spacing w:before="0" w:after="0"/>
        <w:ind w:left="1843" w:right="0" w:firstLine="539"/>
        <w:jc w:val="both"/>
        <w:rPr>
          <w:rFonts w:ascii="Times New Roman" w:hAnsi="Times New Roman" w:cs="Times New Roman"/>
          <w:szCs w:val="20"/>
        </w:rPr>
      </w:pPr>
      <w:r>
        <w:rPr>
          <w:rFonts w:cs="Times New Roman" w:ascii="Times New Roman" w:hAnsi="Times New Roman"/>
          <w:szCs w:val="20"/>
        </w:rPr>
      </w:r>
    </w:p>
    <w:p>
      <w:pPr>
        <w:pStyle w:val="NormalWeb"/>
        <w:bidi w:val="0"/>
        <w:spacing w:before="0" w:after="0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“</w:t>
      </w:r>
      <w:r>
        <w:rPr>
          <w:rFonts w:cs="Times New Roman" w:ascii="Times New Roman" w:hAnsi="Times New Roman"/>
          <w:b/>
          <w:szCs w:val="20"/>
        </w:rPr>
        <w:t>Art. 3º</w:t>
      </w:r>
      <w:r>
        <w:rPr>
          <w:rFonts w:cs="Times New Roman" w:ascii="Times New Roman" w:hAnsi="Times New Roman"/>
          <w:szCs w:val="20"/>
        </w:rPr>
        <w:t xml:space="preserve"> .......................................................................................</w:t>
      </w:r>
    </w:p>
    <w:p>
      <w:pPr>
        <w:pStyle w:val="NormalWeb"/>
        <w:bidi w:val="0"/>
        <w:spacing w:before="0" w:after="0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......................................................................................................</w:t>
      </w:r>
    </w:p>
    <w:p>
      <w:pPr>
        <w:pStyle w:val="NormalWeb"/>
        <w:bidi w:val="0"/>
        <w:spacing w:before="0" w:after="0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§ 6º Para efeito de entrega das parcelas de um determinado ano, o Estado fará publicar, no seu órgão oficial, até o dia 15 de agosto do ano da apuração, o valor adicionado em cada Município, além dos índices percentuais referidos nos §§ 3º e 4º deste artigo.</w:t>
      </w:r>
    </w:p>
    <w:p>
      <w:pPr>
        <w:pStyle w:val="NormalWeb"/>
        <w:bidi w:val="0"/>
        <w:spacing w:before="0" w:after="0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.....................................................................................................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§ 14. Com relação às empresas optantes pelo regime de que trata o art. 12 da Lei Complementar nº 123, de 14 de dezembro de 2006, para o cálculo do valor adicionado, na forma prevista no inciso II do § 1º deste artigo: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I – considerar-se-á, como receita bruta: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a) os valores totais do produto da venda de bens e serviços nas operações de conta própria, do preço dos serviços prestados e do resultado nas operações em conta alheia, não incluídas as vendas canceladas e os descontos incondicionais concedidos;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b) os valores totais das transferências de bens e serviços destinados a estabelecimentos localizados em outros Municípios;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II – a receita bruta será atribuída ao Município onde se localizava o estabelecimento emitente no momento em que se realizaram suas operações, exceto no caso de prestação de serviços de transporte intermunicipal e interestadual, hipótese em que será atribuída para o Município onde se tenham iniciado os serviços;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III – não serão considerados quaisquer outros fenômenos, prestações ou operações, não podendo ser exigidas informações adicionais além da receita bruta, que deverá ser informada tão-somente por meio da declaração prevista no art. 25 da Lei Complementar nº 123, de 2006, salvo na hipótese de disposição expressa do Comitê Gestor do Simples Nacional.</w:t>
      </w:r>
    </w:p>
    <w:p>
      <w:pPr>
        <w:pStyle w:val="NormalWeb"/>
        <w:bidi w:val="0"/>
        <w:spacing w:before="0" w:after="0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 xml:space="preserve">§ 15. Será considerado, para efeito do disposto nas alíneas </w:t>
      </w:r>
      <w:r>
        <w:rPr>
          <w:rFonts w:cs="Times New Roman" w:ascii="Times New Roman" w:hAnsi="Times New Roman"/>
          <w:i/>
          <w:szCs w:val="20"/>
        </w:rPr>
        <w:t>a</w:t>
      </w:r>
      <w:r>
        <w:rPr>
          <w:rFonts w:cs="Times New Roman" w:ascii="Times New Roman" w:hAnsi="Times New Roman"/>
          <w:szCs w:val="20"/>
        </w:rPr>
        <w:t xml:space="preserve"> e </w:t>
      </w:r>
      <w:r>
        <w:rPr>
          <w:rFonts w:cs="Times New Roman" w:ascii="Times New Roman" w:hAnsi="Times New Roman"/>
          <w:i/>
          <w:szCs w:val="20"/>
        </w:rPr>
        <w:t>b</w:t>
      </w:r>
      <w:r>
        <w:rPr>
          <w:rFonts w:cs="Times New Roman" w:ascii="Times New Roman" w:hAnsi="Times New Roman"/>
          <w:szCs w:val="20"/>
        </w:rPr>
        <w:t xml:space="preserve"> do inciso I do § 14 deste artigo, o valor total da receita bruta que se constitua fato gerador do imposto, mesmo quando objeto de imunidade, isenção ou redução na base de cálculo.” (NR)</w:t>
      </w:r>
    </w:p>
    <w:p>
      <w:pPr>
        <w:pStyle w:val="Normal"/>
        <w:bidi w:val="0"/>
        <w:ind w:left="0" w:right="0" w:firstLine="144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bidi w:val="0"/>
        <w:ind w:left="0" w:right="0" w:firstLine="1440"/>
        <w:jc w:val="both"/>
        <w:rPr/>
      </w:pPr>
      <w:r>
        <w:rPr>
          <w:b/>
          <w:sz w:val="28"/>
          <w:szCs w:val="28"/>
        </w:rPr>
        <w:t xml:space="preserve">Art. 2º </w:t>
      </w:r>
      <w:r>
        <w:rPr>
          <w:sz w:val="28"/>
          <w:szCs w:val="28"/>
        </w:rPr>
        <w:t>A Lei Complementar nº 123, de 14 de dezembro de 2006, passa a vigorar com as seguintes alterações:</w:t>
      </w:r>
    </w:p>
    <w:p>
      <w:pPr>
        <w:pStyle w:val="NormalWeb"/>
        <w:bidi w:val="0"/>
        <w:spacing w:beforeAutospacing="1" w:afterAutospacing="1"/>
        <w:ind w:left="1843" w:right="0" w:firstLine="567"/>
        <w:jc w:val="both"/>
        <w:rPr/>
      </w:pPr>
      <w:r>
        <w:rPr>
          <w:rFonts w:cs="Times New Roman" w:ascii="Times New Roman" w:hAnsi="Times New Roman"/>
          <w:szCs w:val="20"/>
        </w:rPr>
        <w:t>“</w:t>
      </w:r>
      <w:r>
        <w:rPr>
          <w:rFonts w:cs="Times New Roman" w:ascii="Times New Roman" w:hAnsi="Times New Roman"/>
          <w:b/>
          <w:szCs w:val="20"/>
        </w:rPr>
        <w:t xml:space="preserve">Art. 2º </w:t>
      </w:r>
      <w:r>
        <w:rPr>
          <w:rFonts w:cs="Times New Roman" w:ascii="Times New Roman" w:hAnsi="Times New Roman"/>
          <w:szCs w:val="20"/>
        </w:rPr>
        <w:t>.......................................................................................</w:t>
      </w:r>
    </w:p>
    <w:p>
      <w:pPr>
        <w:pStyle w:val="NormalWeb"/>
        <w:bidi w:val="0"/>
        <w:spacing w:beforeAutospacing="1" w:afterAutospacing="1"/>
        <w:ind w:left="1843" w:right="0" w:firstLine="567"/>
        <w:jc w:val="both"/>
        <w:rPr/>
      </w:pPr>
      <w:r>
        <w:rPr>
          <w:rFonts w:cs="Times New Roman" w:ascii="Times New Roman" w:hAnsi="Times New Roman"/>
          <w:szCs w:val="20"/>
        </w:rPr>
        <w:t>.....................................................................................................</w:t>
      </w:r>
    </w:p>
    <w:p>
      <w:pPr>
        <w:pStyle w:val="NormalWeb"/>
        <w:bidi w:val="0"/>
        <w:spacing w:beforeAutospacing="1" w:afterAutospacing="1"/>
        <w:ind w:left="1843" w:right="0" w:firstLine="567"/>
        <w:jc w:val="both"/>
        <w:rPr/>
      </w:pPr>
      <w:r>
        <w:rPr>
          <w:rFonts w:cs="Times New Roman" w:ascii="Times New Roman" w:hAnsi="Times New Roman"/>
          <w:szCs w:val="20"/>
        </w:rPr>
        <w:t xml:space="preserve">II – Fórum Permanente das Microempresas e Empresas de Pequeno Porte, com a participação dos órgãos federais competentes e das entidades vinculadas ao setor, para tratar dos demais aspectos, ressalvado o disposto nos incisos III, IV e V do </w:t>
      </w:r>
      <w:r>
        <w:rPr>
          <w:rFonts w:cs="Times New Roman" w:ascii="Times New Roman" w:hAnsi="Times New Roman"/>
          <w:i/>
          <w:szCs w:val="20"/>
        </w:rPr>
        <w:t>caput</w:t>
      </w:r>
      <w:r>
        <w:rPr>
          <w:rFonts w:cs="Times New Roman" w:ascii="Times New Roman" w:hAnsi="Times New Roman"/>
          <w:szCs w:val="20"/>
        </w:rPr>
        <w:t xml:space="preserve"> deste artigo;</w:t>
      </w:r>
    </w:p>
    <w:p>
      <w:pPr>
        <w:pStyle w:val="NormalWeb"/>
        <w:bidi w:val="0"/>
        <w:spacing w:beforeAutospacing="1" w:afterAutospacing="1"/>
        <w:ind w:left="1843" w:right="0" w:firstLine="567"/>
        <w:jc w:val="both"/>
        <w:rPr/>
      </w:pPr>
      <w:r>
        <w:rPr>
          <w:rFonts w:cs="Times New Roman" w:ascii="Times New Roman" w:hAnsi="Times New Roman"/>
          <w:szCs w:val="20"/>
        </w:rPr>
        <w:t>.....................................................................................................</w:t>
      </w:r>
    </w:p>
    <w:p>
      <w:pPr>
        <w:pStyle w:val="NormalWeb"/>
        <w:bidi w:val="0"/>
        <w:spacing w:beforeAutospacing="1" w:afterAutospacing="1"/>
        <w:ind w:left="1843" w:right="0" w:firstLine="567"/>
        <w:jc w:val="both"/>
        <w:rPr/>
      </w:pPr>
      <w:r>
        <w:rPr>
          <w:rFonts w:cs="Times New Roman" w:ascii="Times New Roman" w:hAnsi="Times New Roman"/>
          <w:szCs w:val="20"/>
        </w:rPr>
        <w:t>IV – Comitê Gestor da Política Nacional de Inovação e Competitividade, vinculado ao Ministério de Ciência e Tecnologia, composto por representantes da União, dos Estados e do Distrito Federal e dos Municípios, e Instituições de Ensino, Fomento, Pesquisa, Apoio e Representação Empresarial, para regulamentar os dispositivos legais relativos ao Capítulo X desta Lei Complementar e tratar das ações e desdobramentos relativos à tecnologia e à inovação, na forma regulamentada pelo Poder Executivo Federal;</w:t>
      </w:r>
    </w:p>
    <w:p>
      <w:pPr>
        <w:pStyle w:val="NormalWeb"/>
        <w:bidi w:val="0"/>
        <w:spacing w:beforeAutospacing="1" w:afterAutospacing="1"/>
        <w:ind w:left="1843" w:right="0" w:firstLine="567"/>
        <w:jc w:val="both"/>
        <w:rPr/>
      </w:pPr>
      <w:r>
        <w:rPr>
          <w:rFonts w:cs="Times New Roman" w:ascii="Times New Roman" w:hAnsi="Times New Roman"/>
          <w:szCs w:val="20"/>
        </w:rPr>
        <w:t>V – Comitê Gestor do Uso de Poder de Compra Governamental e de Acesso aos Mercados, vinculado ao Ministério do Planejamento, Orçamento e Gestão, composto por representantes da União, dos Estados e do Distrito Federal e dos Municípios, e Instituições de Ensino, Fomento, Pesquisa, Apoio e Representação Empresarial, para regulamentar os dispositivos legais relativos ao Capítulo V desta Lei Complementar e tratar das ações e desdobramentos relativos ao uso do poder de compra governamental e do acesso aos mercados, na forma regulamentada pelo Poder Executivo Federal.</w:t>
      </w:r>
    </w:p>
    <w:p>
      <w:pPr>
        <w:pStyle w:val="NormalWeb"/>
        <w:bidi w:val="0"/>
        <w:spacing w:beforeAutospacing="1" w:afterAutospacing="1"/>
        <w:ind w:left="1843" w:right="0" w:firstLine="567"/>
        <w:jc w:val="both"/>
        <w:rPr/>
      </w:pPr>
      <w:r>
        <w:rPr>
          <w:rFonts w:cs="Times New Roman" w:ascii="Times New Roman" w:hAnsi="Times New Roman"/>
          <w:szCs w:val="20"/>
        </w:rPr>
        <w:t xml:space="preserve">§ 1º Os Comitês de que tratam os incisos I, III, IV e V do </w:t>
      </w:r>
      <w:r>
        <w:rPr>
          <w:rFonts w:cs="Times New Roman" w:ascii="Times New Roman" w:hAnsi="Times New Roman"/>
          <w:i/>
          <w:szCs w:val="20"/>
        </w:rPr>
        <w:t>caput</w:t>
      </w:r>
      <w:r>
        <w:rPr>
          <w:rFonts w:cs="Times New Roman" w:ascii="Times New Roman" w:hAnsi="Times New Roman"/>
          <w:szCs w:val="20"/>
        </w:rPr>
        <w:t xml:space="preserve"> deste artigo serão presididos e coordenados por representantes da União.</w:t>
      </w:r>
    </w:p>
    <w:p>
      <w:pPr>
        <w:pStyle w:val="NormalWeb"/>
        <w:bidi w:val="0"/>
        <w:spacing w:beforeAutospacing="1" w:afterAutospacing="1"/>
        <w:ind w:left="1843" w:right="0" w:firstLine="567"/>
        <w:jc w:val="both"/>
        <w:rPr/>
      </w:pPr>
      <w:r>
        <w:rPr>
          <w:rFonts w:cs="Times New Roman" w:ascii="Times New Roman" w:hAnsi="Times New Roman"/>
          <w:szCs w:val="20"/>
        </w:rPr>
        <w:t>.....................................................................................................</w:t>
      </w:r>
    </w:p>
    <w:p>
      <w:pPr>
        <w:pStyle w:val="NormalWeb"/>
        <w:bidi w:val="0"/>
        <w:spacing w:beforeAutospacing="1" w:afterAutospacing="1"/>
        <w:ind w:left="1843" w:right="0" w:firstLine="567"/>
        <w:jc w:val="both"/>
        <w:rPr/>
      </w:pPr>
      <w:r>
        <w:rPr>
          <w:rFonts w:cs="Times New Roman" w:ascii="Times New Roman" w:hAnsi="Times New Roman"/>
          <w:szCs w:val="20"/>
        </w:rPr>
        <w:t xml:space="preserve">§ 4º Os Comitês de que tratam os incisos I, III, IV e V do </w:t>
      </w:r>
      <w:r>
        <w:rPr>
          <w:rFonts w:cs="Times New Roman" w:ascii="Times New Roman" w:hAnsi="Times New Roman"/>
          <w:i/>
          <w:szCs w:val="20"/>
        </w:rPr>
        <w:t>caput</w:t>
      </w:r>
      <w:r>
        <w:rPr>
          <w:rFonts w:cs="Times New Roman" w:ascii="Times New Roman" w:hAnsi="Times New Roman"/>
          <w:szCs w:val="20"/>
        </w:rPr>
        <w:t xml:space="preserve"> deste artigo elaborarão seus regimentos internos mediante resolução. </w:t>
      </w:r>
    </w:p>
    <w:p>
      <w:pPr>
        <w:pStyle w:val="NormalWeb"/>
        <w:bidi w:val="0"/>
        <w:spacing w:beforeAutospacing="1" w:afterAutospacing="1"/>
        <w:ind w:left="1843" w:right="0" w:firstLine="567"/>
        <w:jc w:val="both"/>
        <w:rPr/>
      </w:pPr>
      <w:r>
        <w:rPr>
          <w:rFonts w:cs="Times New Roman" w:ascii="Times New Roman" w:hAnsi="Times New Roman"/>
          <w:szCs w:val="20"/>
        </w:rPr>
        <w:t>.....................................................................................................</w:t>
      </w:r>
    </w:p>
    <w:p>
      <w:pPr>
        <w:pStyle w:val="NormalWeb"/>
        <w:bidi w:val="0"/>
        <w:spacing w:beforeAutospacing="1" w:afterAutospacing="1"/>
        <w:ind w:left="1843" w:right="0" w:firstLine="567"/>
        <w:jc w:val="both"/>
        <w:rPr/>
      </w:pPr>
      <w:r>
        <w:rPr>
          <w:rFonts w:cs="Times New Roman" w:ascii="Times New Roman" w:hAnsi="Times New Roman"/>
          <w:szCs w:val="20"/>
        </w:rPr>
        <w:t xml:space="preserve">§ 8º Os membros dos Comitês de que tratam os incisos I, III, IV e V do </w:t>
      </w:r>
      <w:r>
        <w:rPr>
          <w:rFonts w:cs="Times New Roman" w:ascii="Times New Roman" w:hAnsi="Times New Roman"/>
          <w:i/>
          <w:szCs w:val="20"/>
        </w:rPr>
        <w:t>caput</w:t>
      </w:r>
      <w:r>
        <w:rPr>
          <w:rFonts w:cs="Times New Roman" w:ascii="Times New Roman" w:hAnsi="Times New Roman"/>
          <w:szCs w:val="20"/>
        </w:rPr>
        <w:t xml:space="preserve"> deste artigo serão designados, respectivamente, pelos Ministros de Estado da Fazenda, do Desenvolvimento, Indústria e Comércio Exterior, da Ciência e Tecnologia e do Planejamento, Orçamento e Gestão, mediante indicação dos órgãos e entidades vinculados. </w:t>
      </w:r>
    </w:p>
    <w:p>
      <w:pPr>
        <w:pStyle w:val="NormalWeb"/>
        <w:bidi w:val="0"/>
        <w:spacing w:beforeAutospacing="1" w:afterAutospacing="1"/>
        <w:ind w:left="1843" w:right="0" w:firstLine="567"/>
        <w:jc w:val="both"/>
        <w:rPr/>
      </w:pPr>
      <w:r>
        <w:rPr>
          <w:rFonts w:cs="Times New Roman" w:ascii="Times New Roman" w:hAnsi="Times New Roman"/>
          <w:szCs w:val="20"/>
        </w:rPr>
        <w:t xml:space="preserve">§ 9º Os representantes dos Estados e do Distrito Federal no Comitê referido no inciso IV do </w:t>
      </w:r>
      <w:r>
        <w:rPr>
          <w:rFonts w:cs="Times New Roman" w:ascii="Times New Roman" w:hAnsi="Times New Roman"/>
          <w:i/>
          <w:szCs w:val="20"/>
        </w:rPr>
        <w:t>caput</w:t>
      </w:r>
      <w:r>
        <w:rPr>
          <w:rFonts w:cs="Times New Roman" w:ascii="Times New Roman" w:hAnsi="Times New Roman"/>
          <w:szCs w:val="20"/>
        </w:rPr>
        <w:t xml:space="preserve"> deste artigo serão indicados pelo Conselho Nacional de Secretários Estaduais Para Assuntos de Ciência, Tecnologia e Inovação e os dos Municípios serão indicados pelas entidades de representação nacional dos Municípios brasileiros ou do Fórum Nacional de Secretários Municipais da Área de Ciência e Tecnologia.</w:t>
      </w:r>
    </w:p>
    <w:p>
      <w:pPr>
        <w:pStyle w:val="NormalWeb"/>
        <w:bidi w:val="0"/>
        <w:spacing w:before="0" w:after="0"/>
        <w:ind w:left="1843" w:right="0" w:firstLine="567"/>
        <w:jc w:val="both"/>
        <w:rPr/>
      </w:pPr>
      <w:r>
        <w:rPr>
          <w:rFonts w:cs="Times New Roman" w:ascii="Times New Roman" w:hAnsi="Times New Roman"/>
          <w:szCs w:val="20"/>
        </w:rPr>
        <w:t xml:space="preserve">§ 10. Os representantes dos Estados e do Distrito Federal no Comitê referido no inciso V do </w:t>
      </w:r>
      <w:r>
        <w:rPr>
          <w:rFonts w:cs="Times New Roman" w:ascii="Times New Roman" w:hAnsi="Times New Roman"/>
          <w:i/>
          <w:szCs w:val="20"/>
        </w:rPr>
        <w:t>caput</w:t>
      </w:r>
      <w:r>
        <w:rPr>
          <w:rFonts w:cs="Times New Roman" w:ascii="Times New Roman" w:hAnsi="Times New Roman"/>
          <w:szCs w:val="20"/>
        </w:rPr>
        <w:t xml:space="preserve"> deste artigo serão indicados pelo Conselho Nacional de Secretários Estaduais de Planejamento e os dos Municípios serão indicados pelas entidades de representação nacional dos Municípios brasileiros.” (NR)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“</w:t>
      </w:r>
      <w:r>
        <w:rPr>
          <w:rFonts w:cs="Times New Roman" w:ascii="Times New Roman" w:hAnsi="Times New Roman"/>
          <w:b/>
          <w:szCs w:val="20"/>
        </w:rPr>
        <w:t>Art. 4º</w:t>
      </w:r>
      <w:r>
        <w:rPr>
          <w:rFonts w:cs="Times New Roman" w:ascii="Times New Roman" w:hAnsi="Times New Roman"/>
          <w:szCs w:val="20"/>
        </w:rPr>
        <w:t xml:space="preserve">  ......................................................................................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......................................................................................................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§ 1º O processo de registro do Microempreendedor Individual de que trata o art. 18-A desta Lei Complementar deverá ter trâmite especial, opcional para o empreendedor na forma a ser disciplinada pelo Comitê para Gestão da Rede Nacional para a Simplificação do Registro e da Legalização de Empresas e Negócios, observado o seguinte: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I – poderá ser dispensado o registro do comércio ou prevista sua obtenção por meio eletrônico, podendo-se dispensar também o uso da firma, com a respectiva assinatura autógrafa, o capital, requerimentos, demais assinaturas, informações relativas à nacionalidade, estado civil e regime de bens, bem como remessa de documentos, na forma estabelecida pelo Comitê para Gestão da Rede Nacional para a Simplificação do Registro e da Legalização de Empresas e Negócios;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II – as informações do Cadastro Nacional da Pessoa Jurídica (CNPJ) deverão ser disponibilizadas para o Cadastro Nacional de Empresas;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III – o cadastro fiscal estadual ou municipal poderá ser dispensado ou ter sua exigência postergada, sem prejuízo da possibilidade de emissão de documentos fiscais, quando necessária à atividade do MEI, vedada, em qualquer hipótese, a imposição de custos pela autorização para emissão, inclusive na modalidade avulsa.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§ 2º Na hipótese de dispensa do registro do comércio, prevista no inciso I do § 1º deste artigo: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I - a existência legal do Microempreendedor Individual começa no ato de inscrição no CNPJ;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II – as informações do CNPJ deverão ser disponibilizadas para o Cadastro Nacional de Empresas, para subsidiar políticas na área de registro mercantil.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...........................................................................................” (NR)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“</w:t>
      </w:r>
      <w:r>
        <w:rPr>
          <w:rFonts w:cs="Times New Roman" w:ascii="Times New Roman" w:hAnsi="Times New Roman"/>
          <w:b/>
          <w:szCs w:val="20"/>
        </w:rPr>
        <w:t>Art. 16.</w:t>
      </w:r>
      <w:r>
        <w:rPr>
          <w:rFonts w:cs="Times New Roman" w:ascii="Times New Roman" w:hAnsi="Times New Roman"/>
          <w:szCs w:val="20"/>
        </w:rPr>
        <w:t xml:space="preserve"> .....................................................................................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......................................................................................................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§ 1º-A. A opção pelo Simples Nacional implica aceitação de sistema de comunicação eletrônica, destinado, entre outras finalidades, a: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I - cientificar o sujeito passivo de quaisquer tipos de atos administrativos;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II - encaminhar notificações e intimações;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III - expedir avisos em geral.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§ 1º-B. O sistema de comunicação eletrônica de que trata o § 1º-A deste artigo será regulamentado pelo Comitê Gestor do Simples Nacional, observando-se o seguinte: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I – as comunicações serão feitas, por meio eletrônico, em portal próprio, dispensando-se a sua publicação no Diário Oficial e o envio por via postal;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 xml:space="preserve">II – a comunicação feita na forma prevista no </w:t>
      </w:r>
      <w:r>
        <w:rPr>
          <w:rFonts w:cs="Times New Roman" w:ascii="Times New Roman" w:hAnsi="Times New Roman"/>
          <w:i/>
          <w:szCs w:val="20"/>
        </w:rPr>
        <w:t>caput</w:t>
      </w:r>
      <w:r>
        <w:rPr>
          <w:rFonts w:cs="Times New Roman" w:ascii="Times New Roman" w:hAnsi="Times New Roman"/>
          <w:szCs w:val="20"/>
        </w:rPr>
        <w:t xml:space="preserve"> deste parágrafo será considerada pessoal para todos os efeitos legais;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III – considerar-se-á realizada a comunicação no dia em que o sujeito passivo efetivar a consulta eletrônica ao teor da comunicação;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IV – na hipótese do inciso III deste parágrafo, nos casos em que a consulta se dê em dia não útil, a comunicação será considerada como realizada no primeiro dia útil seguinte.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§ 1º-C. A consulta referida nos incisos III e IV do § 1º-B deste artigo deverá ser feita em até 30 (trinta) dias contados da data da disponibilização da comunicação no portal a que se refere o inciso I do § 1º B, ou em prazo superior estipulado pelo Comitê Gestor do Simples Nacional, sob pena de ser considerada automaticamente realizada na data do término desse prazo.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§ 1º-D. No interesse da Administração Pública, a comunicação poderá ser realizada mediante outras formas previstas na legislação.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...........................................................................................” (NR)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“</w:t>
      </w:r>
      <w:r>
        <w:rPr>
          <w:rFonts w:cs="Times New Roman" w:ascii="Times New Roman" w:hAnsi="Times New Roman"/>
          <w:b/>
          <w:szCs w:val="20"/>
        </w:rPr>
        <w:t>Art. 17.</w:t>
      </w:r>
      <w:r>
        <w:rPr>
          <w:rFonts w:cs="Times New Roman" w:ascii="Times New Roman" w:hAnsi="Times New Roman"/>
          <w:szCs w:val="20"/>
        </w:rPr>
        <w:t xml:space="preserve"> .....................................................................................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......................................................................................................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XVI – com ausência ou irregularidade relativa ao cadastro fiscal federal, municipal ou estadual, quando exigível.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a) ....................................................................................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......................................................................................................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 xml:space="preserve">4º Na hipótese do inciso XVI do </w:t>
      </w:r>
      <w:r>
        <w:rPr>
          <w:rFonts w:cs="Times New Roman" w:ascii="Times New Roman" w:hAnsi="Times New Roman"/>
          <w:i/>
          <w:szCs w:val="20"/>
        </w:rPr>
        <w:t xml:space="preserve">caput </w:t>
      </w:r>
      <w:r>
        <w:rPr>
          <w:rFonts w:cs="Times New Roman" w:ascii="Times New Roman" w:hAnsi="Times New Roman"/>
          <w:szCs w:val="20"/>
        </w:rPr>
        <w:t>deste artigo, deverá ser observado, para o Microempreendedor Individual, o disposto no inciso III do § 1º do art. 4º desta Lei Complementar.” (NR)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 xml:space="preserve"> “</w:t>
      </w:r>
      <w:r>
        <w:rPr>
          <w:rFonts w:cs="Times New Roman" w:ascii="Times New Roman" w:hAnsi="Times New Roman"/>
          <w:b/>
          <w:szCs w:val="20"/>
        </w:rPr>
        <w:t>Art. 21.</w:t>
      </w:r>
      <w:r>
        <w:rPr>
          <w:rFonts w:cs="Times New Roman" w:ascii="Times New Roman" w:hAnsi="Times New Roman"/>
          <w:szCs w:val="20"/>
        </w:rPr>
        <w:t xml:space="preserve"> .....................................................................................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......................................................................................................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§ 6º Compete ao Comitê Gestor do Simples Nacional fixar critérios e procedimentos para parcelamento dos recolhimentos em atraso dos débitos tributários devidos no âmbito do Simples Nacional, observado o disposto no § 3º deste artigo e no art. 35 desta Lei Complementar.” (NR)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b/>
          <w:szCs w:val="20"/>
        </w:rPr>
        <w:t>“</w:t>
      </w:r>
      <w:r>
        <w:rPr>
          <w:rFonts w:cs="Times New Roman" w:ascii="Times New Roman" w:hAnsi="Times New Roman"/>
          <w:b/>
          <w:szCs w:val="20"/>
        </w:rPr>
        <w:t>Art. 29.</w:t>
      </w:r>
      <w:r>
        <w:rPr>
          <w:rFonts w:cs="Times New Roman" w:ascii="Times New Roman" w:hAnsi="Times New Roman"/>
          <w:szCs w:val="20"/>
        </w:rPr>
        <w:t xml:space="preserve"> ......................................................................................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......................................................................................................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 xml:space="preserve">§ 6º Nas hipóteses de exclusão previstas no </w:t>
      </w:r>
      <w:r>
        <w:rPr>
          <w:rFonts w:cs="Times New Roman" w:ascii="Times New Roman" w:hAnsi="Times New Roman"/>
          <w:i/>
          <w:szCs w:val="20"/>
        </w:rPr>
        <w:t>caput</w:t>
      </w:r>
      <w:r>
        <w:rPr>
          <w:rFonts w:cs="Times New Roman" w:ascii="Times New Roman" w:hAnsi="Times New Roman"/>
          <w:szCs w:val="20"/>
        </w:rPr>
        <w:t xml:space="preserve"> deste artigo, a notificação: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I – será efetuada pelo ente federativo que promoveu a exclusão;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II – poderá ser feita por meio eletrônico, observado o disposto nos §§ 1º-A a 1º-D do art. 16 desta Lei Complementar.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......................................................................................................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§ 8º A notificação de que trata o § 6º deste artigo aplica-se ao indeferimento da opção pelo Simples Nacional.” (NR)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“</w:t>
      </w:r>
      <w:r>
        <w:rPr>
          <w:rFonts w:cs="Times New Roman" w:ascii="Times New Roman" w:hAnsi="Times New Roman"/>
          <w:b/>
          <w:szCs w:val="20"/>
        </w:rPr>
        <w:t>Art. 31.</w:t>
      </w:r>
      <w:r>
        <w:rPr>
          <w:rFonts w:cs="Times New Roman" w:ascii="Times New Roman" w:hAnsi="Times New Roman"/>
          <w:szCs w:val="20"/>
        </w:rPr>
        <w:t xml:space="preserve"> ......................................................................................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......................................................................................................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 xml:space="preserve">§ 2º Na hipótese dos incisos V e XVI do </w:t>
      </w:r>
      <w:r>
        <w:rPr>
          <w:rFonts w:cs="Times New Roman" w:ascii="Times New Roman" w:hAnsi="Times New Roman"/>
          <w:i/>
          <w:szCs w:val="20"/>
        </w:rPr>
        <w:t>caput</w:t>
      </w:r>
      <w:r>
        <w:rPr>
          <w:rFonts w:cs="Times New Roman" w:ascii="Times New Roman" w:hAnsi="Times New Roman"/>
          <w:szCs w:val="20"/>
        </w:rPr>
        <w:t xml:space="preserve"> do art. 17 desta Lei Complementar, será permitida a permanência da pessoa jurídica como optante pelo Simples Nacional mediante a comprovação da regularização do débito ou do cadastro fiscal no prazo de até 30 (trinta) dias contado a partir da ciência da comunicação da exclusão.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§ 3º O Comitê Gestor do Simples Nacional regulamentará os procedimentos relativos ao impedimento de recolher o ICMS e o ISS na forma do Simples Nacional, em face da ultrapassagem dos limites estabelecidos na forma dos incisos I ou II do art. 19 e do art. 20 desta Lei Complementar;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..........................................................................................” (NR)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b/>
          <w:szCs w:val="20"/>
        </w:rPr>
        <w:t>“</w:t>
      </w:r>
      <w:r>
        <w:rPr>
          <w:rFonts w:cs="Times New Roman" w:ascii="Times New Roman" w:hAnsi="Times New Roman"/>
          <w:b/>
          <w:szCs w:val="20"/>
        </w:rPr>
        <w:t>Art. 32.</w:t>
      </w:r>
      <w:r>
        <w:rPr>
          <w:rFonts w:cs="Times New Roman" w:ascii="Times New Roman" w:hAnsi="Times New Roman"/>
          <w:szCs w:val="20"/>
        </w:rPr>
        <w:t xml:space="preserve"> ......................................................................................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......................................................................................................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 xml:space="preserve">§ 3º Aplica-se o disposto no </w:t>
      </w:r>
      <w:r>
        <w:rPr>
          <w:rFonts w:cs="Times New Roman" w:ascii="Times New Roman" w:hAnsi="Times New Roman"/>
          <w:i/>
          <w:szCs w:val="20"/>
        </w:rPr>
        <w:t>caput</w:t>
      </w:r>
      <w:r>
        <w:rPr>
          <w:rFonts w:cs="Times New Roman" w:ascii="Times New Roman" w:hAnsi="Times New Roman"/>
          <w:szCs w:val="20"/>
        </w:rPr>
        <w:t xml:space="preserve"> deste artigo à empresa impedida de recolher o ICMS e o ISS na forma do Simples Nacional, em face da ultrapassagem dos limites a que se referem os incisos I ou II do </w:t>
      </w:r>
      <w:r>
        <w:rPr>
          <w:rFonts w:cs="Times New Roman" w:ascii="Times New Roman" w:hAnsi="Times New Roman"/>
          <w:i/>
          <w:szCs w:val="20"/>
        </w:rPr>
        <w:t>caput</w:t>
      </w:r>
      <w:r>
        <w:rPr>
          <w:rFonts w:cs="Times New Roman" w:ascii="Times New Roman" w:hAnsi="Times New Roman"/>
          <w:szCs w:val="20"/>
        </w:rPr>
        <w:t xml:space="preserve"> do art. 19 desta Lei Complementar, relativamente ao estabelecimento localizado na unidade da federação que os houver adotado.” (NR)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“</w:t>
      </w:r>
      <w:r>
        <w:rPr>
          <w:rFonts w:cs="Times New Roman" w:ascii="Times New Roman" w:hAnsi="Times New Roman"/>
          <w:b/>
          <w:szCs w:val="20"/>
        </w:rPr>
        <w:t>Art. 33.</w:t>
      </w:r>
      <w:r>
        <w:rPr>
          <w:rFonts w:cs="Times New Roman" w:ascii="Times New Roman" w:hAnsi="Times New Roman"/>
          <w:szCs w:val="20"/>
        </w:rPr>
        <w:t xml:space="preserve"> ......................................................................................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......................................................................................................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§ 1º As Secretarias de Fazenda ou Finanças dos Estados poderão celebrar convênio com os Municípios de sua jurisdição para atribuir a estes a fiscalização, apenas na hipótese de ocorrência tão-somente de operações e prestações incluídos na competência tributária estadual.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 xml:space="preserve">§ 1º-A. A fiscalização de que trata o </w:t>
      </w:r>
      <w:r>
        <w:rPr>
          <w:rFonts w:cs="Times New Roman" w:ascii="Times New Roman" w:hAnsi="Times New Roman"/>
          <w:i/>
          <w:szCs w:val="20"/>
        </w:rPr>
        <w:t xml:space="preserve">caput </w:t>
      </w:r>
      <w:r>
        <w:rPr>
          <w:rFonts w:cs="Times New Roman" w:ascii="Times New Roman" w:hAnsi="Times New Roman"/>
          <w:szCs w:val="20"/>
        </w:rPr>
        <w:t>deste artigo, após iniciada, abrangerá todos os estabelecimentos da microempresa ou da empresa de pequeno porte, independentemente da atividade por eles exercida.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 xml:space="preserve">§ 1º-B. As autoridades fiscais de que trata o </w:t>
      </w:r>
      <w:r>
        <w:rPr>
          <w:rFonts w:cs="Times New Roman" w:ascii="Times New Roman" w:hAnsi="Times New Roman"/>
          <w:i/>
          <w:szCs w:val="20"/>
        </w:rPr>
        <w:t>caput</w:t>
      </w:r>
      <w:r>
        <w:rPr>
          <w:rFonts w:cs="Times New Roman" w:ascii="Times New Roman" w:hAnsi="Times New Roman"/>
          <w:szCs w:val="20"/>
        </w:rPr>
        <w:t xml:space="preserve"> deste artigo têm competência para efetuar o lançamento de todos os tributos previstos nos incisos I a VIII do art. 13 desta Lei Complementar, independentemente do ente federado instituidor, não se aplicando, para o Simples Nacional, os arts. 6º e 7º da Lei nº 5.172, de 25 de outubro de 1966 - Código Tributário Nacional - CTN.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..........................................................................................” (NR)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“</w:t>
      </w:r>
      <w:r>
        <w:rPr>
          <w:rFonts w:cs="Times New Roman" w:ascii="Times New Roman" w:hAnsi="Times New Roman"/>
          <w:b/>
          <w:szCs w:val="20"/>
        </w:rPr>
        <w:t>Art. 34.</w:t>
      </w:r>
      <w:r>
        <w:rPr>
          <w:rFonts w:cs="Times New Roman" w:ascii="Times New Roman" w:hAnsi="Times New Roman"/>
          <w:szCs w:val="20"/>
        </w:rPr>
        <w:t xml:space="preserve"> Aplicam-se à microempresa ou à empresa de pequeno porte optante pelo Simples Nacional todas as presunções de omissão de receita existentes na legislação do imposto de renda.” (NR)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“</w:t>
      </w:r>
      <w:r>
        <w:rPr>
          <w:rFonts w:cs="Times New Roman" w:ascii="Times New Roman" w:hAnsi="Times New Roman"/>
          <w:b/>
          <w:szCs w:val="20"/>
        </w:rPr>
        <w:t>Art. 39</w:t>
      </w:r>
      <w:r>
        <w:rPr>
          <w:rFonts w:cs="Times New Roman" w:ascii="Times New Roman" w:hAnsi="Times New Roman"/>
          <w:szCs w:val="20"/>
        </w:rPr>
        <w:t>. O contencioso administrativo relativo ao Simples Nacional será de competência do órgão julgador integrante da estrutura administrativa do ente federativo que efetuar o lançamento, o indeferimento da opção ou a exclusão de ofício, observados os dispositivos legais atinentes aos processos administrativos fiscais desse ente, ressalvado o disposto nos §§ 4º a 6º deste artigo.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......................................................................................................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§ 4º A intimação dos atos do contencioso administrativo observará o disposto nos §§ 1º-A a 1º-D do art. 16 desta Lei Complementar.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 xml:space="preserve">§ 5º A impugnação relativa ao indeferimento da opção ou à exclusão poderá ter procedimento diferenciado, estabelecido pela respectiva administração tributária, sem prejuízo do direito de julgamento posterior, mediante requerimento do contribuinte, pelo órgão de que trata o </w:t>
      </w:r>
      <w:r>
        <w:rPr>
          <w:rFonts w:cs="Times New Roman" w:ascii="Times New Roman" w:hAnsi="Times New Roman"/>
          <w:i/>
          <w:szCs w:val="20"/>
        </w:rPr>
        <w:t xml:space="preserve">caput </w:t>
      </w:r>
      <w:r>
        <w:rPr>
          <w:rFonts w:cs="Times New Roman" w:ascii="Times New Roman" w:hAnsi="Times New Roman"/>
          <w:szCs w:val="20"/>
        </w:rPr>
        <w:t>deste artigo.</w:t>
      </w:r>
    </w:p>
    <w:p>
      <w:pPr>
        <w:pStyle w:val="NormalWeb"/>
        <w:bidi w:val="0"/>
        <w:spacing w:before="0" w:after="0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§ 6º O Comitê Gestor do Simples Nacional regulamentará o disposto neste artigo, podendo ser estabelecidos procedimentos e prazos unificados relativos ao contencioso administrativo.” (NR)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“</w:t>
      </w:r>
      <w:r>
        <w:rPr>
          <w:rFonts w:cs="Times New Roman" w:ascii="Times New Roman" w:hAnsi="Times New Roman"/>
          <w:b/>
          <w:szCs w:val="20"/>
        </w:rPr>
        <w:t>Art. 56.</w:t>
      </w:r>
      <w:r>
        <w:rPr>
          <w:rFonts w:cs="Times New Roman" w:ascii="Times New Roman" w:hAnsi="Times New Roman"/>
          <w:szCs w:val="20"/>
        </w:rPr>
        <w:t xml:space="preserve"> ......................................................................................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......................................................................................................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§ 7º O Comitê Gestor do Simples Nacional regulamentará o disposto neste artigo até 31 de julho de 2010.” (NR)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“</w:t>
      </w:r>
      <w:r>
        <w:rPr>
          <w:rFonts w:cs="Times New Roman" w:ascii="Times New Roman" w:hAnsi="Times New Roman"/>
          <w:b/>
          <w:szCs w:val="20"/>
        </w:rPr>
        <w:t>Art. 85-A.</w:t>
      </w:r>
      <w:r>
        <w:rPr>
          <w:rFonts w:cs="Times New Roman" w:ascii="Times New Roman" w:hAnsi="Times New Roman"/>
          <w:szCs w:val="20"/>
        </w:rPr>
        <w:t xml:space="preserve"> ...............................................................................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...............................................................................................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bookmarkStart w:id="0" w:name="__DdeLink__3278_2577103482"/>
      <w:r>
        <w:rPr>
          <w:rFonts w:cs="Times New Roman" w:ascii="Times New Roman" w:hAnsi="Times New Roman"/>
          <w:szCs w:val="20"/>
        </w:rPr>
        <w:t>§ 2º</w:t>
      </w:r>
      <w:bookmarkEnd w:id="0"/>
      <w:r>
        <w:rPr>
          <w:rFonts w:cs="Times New Roman" w:ascii="Times New Roman" w:hAnsi="Times New Roman"/>
          <w:szCs w:val="20"/>
        </w:rPr>
        <w:t xml:space="preserve"> .........................................................................................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...................................................................................................</w:t>
      </w:r>
    </w:p>
    <w:p>
      <w:pPr>
        <w:pStyle w:val="Normal"/>
        <w:bidi w:val="0"/>
        <w:ind w:left="1800" w:right="0" w:firstLine="540"/>
        <w:jc w:val="left"/>
        <w:rPr/>
      </w:pPr>
      <w:r>
        <w:rPr/>
        <w:t>III – possuir formação ou experiência compatível com a função a ser exercida.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Cs w:val="20"/>
        </w:rPr>
        <w:t>.........................................................................................” (NR)</w:t>
      </w:r>
    </w:p>
    <w:p>
      <w:pPr>
        <w:pStyle w:val="07CitaolegalCLG"/>
        <w:bidi w:val="0"/>
        <w:ind w:left="0" w:right="0" w:hanging="0"/>
        <w:jc w:val="left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hanging="0"/>
        <w:jc w:val="left"/>
        <w:rPr>
          <w:rFonts w:ascii="Times New Roman" w:hAnsi="Times New Roman"/>
        </w:rPr>
      </w:pPr>
      <w:r>
        <w:rPr/>
      </w:r>
    </w:p>
    <w:p>
      <w:pPr>
        <w:pStyle w:val="Normal"/>
        <w:bidi w:val="0"/>
        <w:ind w:left="0" w:right="0" w:firstLine="1440"/>
        <w:jc w:val="both"/>
        <w:rPr/>
      </w:pPr>
      <w:r>
        <w:rPr>
          <w:b/>
          <w:sz w:val="28"/>
          <w:szCs w:val="28"/>
        </w:rPr>
        <w:t>Art. 3º</w:t>
      </w:r>
      <w:r>
        <w:rPr>
          <w:sz w:val="28"/>
          <w:szCs w:val="28"/>
        </w:rPr>
        <w:t xml:space="preserve"> Fica revogado o § 7º do art. 29 da Lei Complementar nº 123, de 14 de dezembro de 2006.</w:t>
      </w:r>
    </w:p>
    <w:p>
      <w:pPr>
        <w:pStyle w:val="Normal"/>
        <w:bidi w:val="0"/>
        <w:ind w:left="0" w:right="0" w:firstLine="1440"/>
        <w:jc w:val="left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ind w:left="0" w:right="0" w:firstLine="1440"/>
        <w:jc w:val="both"/>
        <w:rPr/>
      </w:pPr>
      <w:r>
        <w:rPr>
          <w:b/>
          <w:sz w:val="28"/>
          <w:szCs w:val="28"/>
        </w:rPr>
        <w:t>Art. 4º</w:t>
      </w:r>
      <w:r>
        <w:rPr>
          <w:sz w:val="28"/>
          <w:szCs w:val="28"/>
        </w:rPr>
        <w:t xml:space="preserve"> Esta Lei Complementar entra em vigor na data de sua publicação, produzindo efeitos a partir do primeiro dia do segundo mês seguinte ao de sua publicação.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 w:val="28"/>
          <w:szCs w:val="20"/>
        </w:rPr>
        <w:t xml:space="preserve">§ </w:t>
      </w:r>
      <w:r>
        <w:rPr>
          <w:rFonts w:cs="Times New Roman" w:ascii="Times New Roman" w:hAnsi="Times New Roman"/>
          <w:sz w:val="28"/>
          <w:szCs w:val="20"/>
        </w:rPr>
        <w:t>1</w:t>
      </w:r>
      <w:r>
        <w:rPr>
          <w:rFonts w:cs="Times New Roman" w:ascii="Times New Roman" w:hAnsi="Times New Roman"/>
          <w:sz w:val="28"/>
          <w:szCs w:val="20"/>
        </w:rPr>
        <w:t xml:space="preserve">º  </w:t>
      </w:r>
      <w:r>
        <w:rPr>
          <w:rFonts w:cs="Times New Roman" w:ascii="Times New Roman" w:hAnsi="Times New Roman"/>
          <w:sz w:val="28"/>
          <w:szCs w:val="20"/>
        </w:rPr>
        <w:t>Isso é um teste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 w:val="28"/>
          <w:szCs w:val="20"/>
        </w:rPr>
        <w:t>I – Isso é outro teste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 w:val="28"/>
          <w:szCs w:val="20"/>
        </w:rPr>
        <w:t>II – Isso é mais um teste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 w:val="28"/>
          <w:szCs w:val="20"/>
        </w:rPr>
        <w:t>II – Ops, duplicou</w:t>
      </w:r>
    </w:p>
    <w:p>
      <w:pPr>
        <w:pStyle w:val="NormalWeb"/>
        <w:bidi w:val="0"/>
        <w:spacing w:beforeAutospacing="1" w:afterAutospacing="1"/>
        <w:ind w:left="1843" w:right="0" w:firstLine="539"/>
        <w:jc w:val="both"/>
        <w:rPr/>
      </w:pPr>
      <w:r>
        <w:rPr>
          <w:rFonts w:cs="Times New Roman" w:ascii="Times New Roman" w:hAnsi="Times New Roman"/>
          <w:sz w:val="28"/>
          <w:szCs w:val="20"/>
        </w:rPr>
        <w:t>III – Aqui está outro teste</w:t>
      </w:r>
    </w:p>
    <w:p>
      <w:pPr>
        <w:pStyle w:val="Normal"/>
        <w:bidi w:val="0"/>
        <w:ind w:left="0" w:right="0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bidi w:val="0"/>
        <w:ind w:left="0" w:right="0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bidi w:val="0"/>
        <w:ind w:left="0" w:right="0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bidi w:val="0"/>
        <w:ind w:left="0" w:right="0" w:hanging="0"/>
        <w:jc w:val="center"/>
        <w:rPr/>
      </w:pPr>
      <w:r>
        <w:rPr>
          <w:b/>
          <w:sz w:val="28"/>
          <w:szCs w:val="28"/>
        </w:rPr>
        <w:t>JUSTIFICAÇÃO</w:t>
      </w:r>
    </w:p>
    <w:p>
      <w:pPr>
        <w:pStyle w:val="Normal"/>
        <w:bidi w:val="0"/>
        <w:ind w:left="0" w:right="0" w:hanging="0"/>
        <w:jc w:val="both"/>
        <w:rPr>
          <w:rFonts w:ascii="Times New Roman" w:hAnsi="Times New Roman"/>
        </w:rPr>
      </w:pPr>
      <w:r>
        <w:rPr/>
      </w:r>
    </w:p>
    <w:p>
      <w:pPr>
        <w:pStyle w:val="06PargrafodetextoCLG"/>
        <w:bidi w:val="0"/>
        <w:ind w:left="0" w:right="0" w:firstLine="1418"/>
        <w:jc w:val="left"/>
        <w:rPr/>
      </w:pPr>
      <w:r>
        <w:rPr>
          <w:bCs/>
        </w:rPr>
        <w:t>Em julho de 2007, passou a viger o novo Regime Especial Unificado de Arrecadação de Tributos e Contribuições devidos pelas Microempresas e Empresas de Pequeno Porte, também conhecido como Simples Nacional — verdadeira revolução tributária que facilitou a vida de milhões de micro e pequenos empresários. Por envolver aspectos tributários e procedimentais de todos os entes federativos — União, estados e municípios —, a legislação aplicável, contida na Lei Complementar (LCP) nº 123, de 14 de dezembro de 2006, é bastante complexa. Naturalmente, após dois anos e meio de experiência, algumas inconsistências vieram à tona e alguns ajustes se tornaram necessários. É basicamente disso que trata este Projeto, além de propor aperfeiçoamentos à LCP nº 63, de 11 de janeiro de 1990, também relacionados a micro e pequenas empresas.</w:t>
      </w:r>
    </w:p>
    <w:p>
      <w:pPr>
        <w:pStyle w:val="06PargrafodetextoCLG"/>
        <w:bidi w:val="0"/>
        <w:ind w:left="0" w:right="0" w:firstLine="1418"/>
        <w:jc w:val="left"/>
        <w:rPr/>
      </w:pPr>
      <w:r>
        <w:rPr>
          <w:bCs/>
        </w:rPr>
        <w:t>Inicialmente, as alterações propostas para o art. 4º da LCP nº 123, de 2006, tencionam facilitar ainda mais o processo de inscrição do microempreendedor individual, estabelecendo que o registro do comércio poderá ser dispensado, ou até mesmo feito eletronicamente, sem assinaturas e documentos. A inovação atende também ao disposto no art. 970 da Lei nº 10.406, de 10 de janeiro de 2002 (Código Civil).</w:t>
      </w:r>
    </w:p>
    <w:p>
      <w:pPr>
        <w:pStyle w:val="06PargrafodetextoCLG"/>
        <w:bidi w:val="0"/>
        <w:ind w:left="0" w:right="0" w:firstLine="1418"/>
        <w:jc w:val="left"/>
        <w:rPr/>
      </w:pPr>
      <w:r>
        <w:rPr>
          <w:bCs/>
        </w:rPr>
        <w:t>O acréscimo do inciso XVI ao art. 17 e a modificação do § 2º do art. 31 proporcionarão maior clareza à exigência da regularidade da inscrição fiscal como condição para ingresso no Simples Nacional, bem como maior prazo para que a empresa regularize a pendência. Não o fazendo, ela será excluída do regime a partir do ano-calendário seguinte.</w:t>
      </w:r>
    </w:p>
    <w:p>
      <w:pPr>
        <w:pStyle w:val="06PargrafodetextoCLG"/>
        <w:bidi w:val="0"/>
        <w:ind w:left="0" w:right="0" w:firstLine="1418"/>
        <w:jc w:val="left"/>
        <w:rPr/>
      </w:pPr>
      <w:r>
        <w:rPr>
          <w:bCs/>
        </w:rPr>
        <w:t>As modificações nos arts. 16, 29 e 39 dizem respeito à notificação eletrônica. Melhor dizendo, às regras para que a empresa optante possa ser notificada por meio de aplicativo na Internet, já que todas elas precisam acessar a rede mundial de computadores mensalmente para fazer o cálculo dos valores devidos e gerar as respectivas guias.</w:t>
      </w:r>
    </w:p>
    <w:p>
      <w:pPr>
        <w:pStyle w:val="06PargrafodetextoCLG"/>
        <w:bidi w:val="0"/>
        <w:ind w:left="0" w:right="0" w:firstLine="1418"/>
        <w:jc w:val="left"/>
        <w:rPr/>
      </w:pPr>
      <w:r>
        <w:rPr>
          <w:bCs/>
        </w:rPr>
        <w:t>Adicionalmente, o § 5º do art. 39 prevê que a impugnação ao termo de indeferimento da opção ou de exclusão do regime possa ter tratamento mais célere, sem a necessidade de julgamento colegiado.</w:t>
      </w:r>
    </w:p>
    <w:p>
      <w:pPr>
        <w:pStyle w:val="06PargrafodetextoCLG"/>
        <w:bidi w:val="0"/>
        <w:ind w:left="0" w:right="0" w:firstLine="1418"/>
        <w:jc w:val="left"/>
        <w:rPr/>
      </w:pPr>
      <w:r>
        <w:rPr>
          <w:bCs/>
        </w:rPr>
        <w:t xml:space="preserve">As alterações no § 3º do art. 31 e § 3º do art. 32 corrigem a questão da ultrapassagem dos sublimites estaduais. A redação atual a considera como exclusão do regime, quando, na verdade, disso não se trata, mas sim de impedimento ao recolhimento do ICMS e do ISS no Simples Nacional. </w:t>
      </w:r>
    </w:p>
    <w:p>
      <w:pPr>
        <w:pStyle w:val="06PargrafodetextoCLG"/>
        <w:bidi w:val="0"/>
        <w:ind w:left="0" w:right="0" w:firstLine="1418"/>
        <w:jc w:val="left"/>
        <w:rPr/>
      </w:pPr>
      <w:r>
        <w:rPr>
          <w:bCs/>
        </w:rPr>
        <w:t>As modificações no art. 33 visam a ratificar a competência dos entes federativos para lançar todos os tributos abrangidos pelo Simples Nacional, quando uma ação fiscal se iniciar.</w:t>
      </w:r>
    </w:p>
    <w:p>
      <w:pPr>
        <w:pStyle w:val="06PargrafodetextoCLG"/>
        <w:bidi w:val="0"/>
        <w:ind w:left="0" w:right="0" w:firstLine="1418"/>
        <w:jc w:val="left"/>
        <w:rPr/>
      </w:pPr>
      <w:r>
        <w:rPr>
          <w:bCs/>
        </w:rPr>
        <w:t>As alterações no art. 34 objetivam determinar que somente são válidas no Simples Nacional as presunções de omissão de receita existentes na legislação do imposto de renda, e não todas as existentes nas legislações de todos os entes federativos.</w:t>
      </w:r>
    </w:p>
    <w:p>
      <w:pPr>
        <w:pStyle w:val="06PargrafodetextoCLG"/>
        <w:bidi w:val="0"/>
        <w:ind w:left="0" w:right="0" w:firstLine="1418"/>
        <w:jc w:val="left"/>
        <w:rPr/>
      </w:pPr>
      <w:r>
        <w:rPr>
          <w:bCs/>
        </w:rPr>
        <w:t xml:space="preserve">Ainda na LCP nº 123, de 2006, com a modificação perpetrada ao art. 2°, tenciona-se aproveitar a exitosa experiência do Comitê Gestor do Simples Nacional, que trata os aspectos tributários da Lei Complementar nº 123, de 2006, para estender a idéia a outros setores. </w:t>
      </w:r>
    </w:p>
    <w:p>
      <w:pPr>
        <w:pStyle w:val="06PargrafodetextoCLG"/>
        <w:bidi w:val="0"/>
        <w:ind w:left="0" w:right="0" w:firstLine="1418"/>
        <w:jc w:val="left"/>
        <w:rPr/>
      </w:pPr>
      <w:r>
        <w:rPr>
          <w:bCs/>
        </w:rPr>
        <w:t>A LCP nº 128, de 2008, criou, na LCP nº 123, de 2006, o Comitê Gestor da Rede Nacional para a Simplificação do Registro e da Legalização de Empresas e Negócios (Redesim). Pela presente emenda, propõe-se criar mais dois Comitês Gestores. O primeiro, para tratar dos assuntos relativos à Ciência e Tecnologia, coordenado pelo respectivo Ministério. O segundo, para tratar da delicada questão do acesso aos mercados, por parte da microempresa e da empresa de pequeno porte.</w:t>
      </w:r>
    </w:p>
    <w:p>
      <w:pPr>
        <w:pStyle w:val="06PargrafodetextoCLG"/>
        <w:bidi w:val="0"/>
        <w:ind w:left="0" w:right="0" w:firstLine="1418"/>
        <w:jc w:val="left"/>
        <w:rPr/>
      </w:pPr>
      <w:r>
        <w:rPr>
          <w:bCs/>
        </w:rPr>
        <w:t>Dessa forma, espera-se dar mais efetividade e rapidez nas ações relativas ao segmento, o que certamente proporcionará melhores condições de sobrevivência e competitividade às referidas empresas.</w:t>
      </w:r>
    </w:p>
    <w:p>
      <w:pPr>
        <w:pStyle w:val="06PargrafodetextoCLG"/>
        <w:bidi w:val="0"/>
        <w:ind w:left="0" w:right="0" w:firstLine="1418"/>
        <w:jc w:val="left"/>
        <w:rPr/>
      </w:pPr>
      <w:r>
        <w:rPr/>
        <w:t>Propomos, também, no art. 1º, alterar partes da LCP nº 63, de 11 de janeiro de 1990, que trata dos repasses aos Municípios de impostos e transferências recebidos pelos Estados.</w:t>
      </w:r>
    </w:p>
    <w:p>
      <w:pPr>
        <w:pStyle w:val="06PargrafodetextoCLG"/>
        <w:bidi w:val="0"/>
        <w:ind w:left="0" w:right="0" w:firstLine="1418"/>
        <w:jc w:val="left"/>
        <w:rPr/>
      </w:pPr>
      <w:r>
        <w:rPr/>
        <w:t xml:space="preserve">A alteração do § 6º do art. 3º da LCP nº 63, de 1990, decorre </w:t>
      </w:r>
      <w:r>
        <w:rPr>
          <w:bCs/>
        </w:rPr>
        <w:t>da necessidade de se conceder mais prazo para que as microempresas e empresas de pequeno porte apresentem as declarações relativas ao ano-calendário anterior. Isso porque, com o cálculo provisório do Índice de Participação dos Municípios (IPM) hoje estipulado para 30 de junho, não é viável a entrega das declarações pela microempresa ou pela empresa de pequeno porte em prazo razoável.</w:t>
      </w:r>
    </w:p>
    <w:p>
      <w:pPr>
        <w:pStyle w:val="06PargrafodetextoCLG"/>
        <w:bidi w:val="0"/>
        <w:ind w:left="0" w:right="0" w:firstLine="1418"/>
        <w:jc w:val="left"/>
        <w:rPr/>
      </w:pPr>
      <w:r>
        <w:rPr>
          <w:bCs/>
        </w:rPr>
        <w:t>As modificações promovidas nos §§ 14 e 15 do mesmo art. 3º da LCP nº 63, de 1990, visam a tornar cristalinos os conceitos relativos ao cálculo do IPM no que tange às empresas optantes pelo Simples Nacional. Atualmente há muitas dúvidas sobre o conceito de receita bruta, o que faz com que um número exagerado de informações seja exigido das empresas optantes. Isso porque a simplificação pretendida quando da alteração na LCP nº 63, de 1990, trazida pela LCP nº 123, de 2006, não foi alcançada. As alterações trarão mais clareza aos conceitos e a tão desejada simplificação, com redução de exigências.</w:t>
      </w:r>
    </w:p>
    <w:p>
      <w:pPr>
        <w:pStyle w:val="06PargrafodetextoCLG"/>
        <w:bidi w:val="0"/>
        <w:ind w:left="0" w:right="0" w:firstLine="1418"/>
        <w:jc w:val="left"/>
        <w:rPr/>
      </w:pPr>
      <w:r>
        <w:rPr>
          <w:bCs/>
        </w:rPr>
        <w:t>Por conter uma série de medidas necessárias ao aperfeiçoamento de um sistema que só tem trazido benefícios à Nação, contamos com o apoio dos nobres colegas à aprovação do presente Projeto.</w:t>
      </w:r>
    </w:p>
    <w:p>
      <w:pPr>
        <w:pStyle w:val="Normal"/>
        <w:bidi w:val="0"/>
        <w:spacing w:lineRule="auto" w:line="288"/>
        <w:ind w:left="0" w:right="0" w:firstLine="1418"/>
        <w:jc w:val="both"/>
        <w:rPr/>
      </w:pPr>
      <w:r>
        <w:rPr>
          <w:sz w:val="28"/>
        </w:rPr>
        <w:t>Sala das Sessões,</w:t>
      </w:r>
    </w:p>
    <w:p>
      <w:pPr>
        <w:pStyle w:val="Normal"/>
        <w:bidi w:val="0"/>
        <w:spacing w:lineRule="auto" w:line="288"/>
        <w:ind w:left="0" w:right="0" w:firstLine="1418"/>
        <w:jc w:val="both"/>
        <w:rPr>
          <w:rFonts w:ascii="Times New Roman" w:hAnsi="Times New Roman"/>
          <w:sz w:val="28"/>
        </w:rPr>
      </w:pPr>
      <w:r>
        <w:rPr>
          <w:sz w:val="28"/>
        </w:rPr>
      </w:r>
    </w:p>
    <w:p>
      <w:pPr>
        <w:pStyle w:val="Normal"/>
        <w:bidi w:val="0"/>
        <w:spacing w:lineRule="auto" w:line="288"/>
        <w:ind w:left="0" w:right="0" w:firstLine="1418"/>
        <w:jc w:val="both"/>
        <w:rPr>
          <w:rFonts w:ascii="Times New Roman" w:hAnsi="Times New Roman"/>
          <w:sz w:val="28"/>
        </w:rPr>
      </w:pPr>
      <w:r>
        <w:rPr>
          <w:sz w:val="28"/>
        </w:rPr>
      </w:r>
    </w:p>
    <w:p>
      <w:pPr>
        <w:pStyle w:val="Normal"/>
        <w:bidi w:val="0"/>
        <w:ind w:left="0" w:right="0" w:hanging="0"/>
        <w:jc w:val="center"/>
        <w:rPr/>
      </w:pPr>
      <w:r>
        <w:rPr>
          <w:sz w:val="28"/>
          <w:szCs w:val="28"/>
        </w:rPr>
        <w:t>Senador ADELMIR SANTANA</w:t>
      </w:r>
    </w:p>
    <w:sectPr>
      <w:footerReference w:type="default" r:id="rId2"/>
      <w:type w:val="nextPage"/>
      <w:pgSz w:w="11906" w:h="16838"/>
      <w:pgMar w:left="1701" w:right="1701" w:header="0" w:top="1418" w:footer="709" w:bottom="1418" w:gutter="0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widowControl/>
      <w:tabs>
        <w:tab w:val="center" w:pos="4252" w:leader="none"/>
        <w:tab w:val="right" w:pos="8504" w:leader="none"/>
      </w:tabs>
      <w:bidi w:val="0"/>
      <w:ind w:left="0" w:right="360" w:hanging="0"/>
      <w:jc w:val="left"/>
      <w:textAlignment w:val="auto"/>
      <w:rPr>
        <w:rFonts w:ascii="Times New Roman" w:hAnsi="Times New Roman" w:cs="Times New Roman"/>
        <w:sz w:val="24"/>
        <w:szCs w:val="24"/>
        <w:lang w:val="pt-BR" w:eastAsia="pt-BR" w:bidi="ar-SA"/>
      </w:rPr>
    </w:pPr>
    <w:r>
      <w:rPr>
        <w:rFonts w:cs="Times New Roman"/>
        <w:sz w:val="24"/>
        <w:szCs w:val="24"/>
        <w:lang w:val="pt-BR" w:eastAsia="pt-BR" w:bidi="ar-SA"/>
      </w:rPr>
      <mc:AlternateContent>
        <mc:Choice Requires="wps">
          <w:drawing>
            <wp:anchor behindDoc="1" distT="0" distB="0" distL="0" distR="0" simplePos="0" locked="0" layoutInCell="1" allowOverlap="1" relativeHeight="1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53670" cy="174625"/>
              <wp:effectExtent l="0" t="0" r="0" b="0"/>
              <wp:wrapTopAndBottom/>
              <wp:docPr id="1" name="Quadro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300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Rodap"/>
                            <w:widowControl/>
                            <w:tabs>
                              <w:tab w:val="center" w:pos="4252" w:leader="none"/>
                              <w:tab w:val="right" w:pos="8504" w:leader="none"/>
                            </w:tabs>
                            <w:bidi w:val="0"/>
                            <w:ind w:left="0" w:right="0" w:hanging="0"/>
                            <w:jc w:val="left"/>
                            <w:textAlignment w:val="auto"/>
                            <w:rPr/>
                          </w:pPr>
                          <w:r>
                            <w:rPr>
                              <w:rStyle w:val="Pagenumber"/>
                              <w:rFonts w:cs="Times New Roman"/>
                              <w:color w:val="auto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4"/>
                              <w:szCs w:val="24"/>
                              <w:rFonts w:cs="Times New Roman"/>
                            </w:rPr>
                            <w:instrText> PAGE </w:instrText>
                          </w:r>
                          <w:r>
                            <w:rPr>
                              <w:rStyle w:val="Pagenumber"/>
                              <w:sz w:val="24"/>
                              <w:szCs w:val="24"/>
                              <w:rFonts w:cs="Times New Roman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4"/>
                              <w:szCs w:val="24"/>
                              <w:rFonts w:cs="Times New Roman"/>
                            </w:rPr>
                            <w:t>11</w:t>
                          </w:r>
                          <w:r>
                            <w:rPr>
                              <w:rStyle w:val="Pagenumber"/>
                              <w:sz w:val="24"/>
                              <w:szCs w:val="24"/>
                              <w:rFonts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Quadro1" fillcolor="white" stroked="f" style="position:absolute;margin-left:413.1pt;margin-top:0.05pt;width:12pt;height:13.65pt;mso-position-horizontal:right;mso-position-horizontal-relative:margin">
              <w10:wrap type="squar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Rodap"/>
                      <w:widowControl/>
                      <w:tabs>
                        <w:tab w:val="center" w:pos="4252" w:leader="none"/>
                        <w:tab w:val="right" w:pos="8504" w:leader="none"/>
                      </w:tabs>
                      <w:bidi w:val="0"/>
                      <w:ind w:left="0" w:right="0" w:hanging="0"/>
                      <w:jc w:val="left"/>
                      <w:textAlignment w:val="auto"/>
                      <w:rPr/>
                    </w:pPr>
                    <w:r>
                      <w:rPr>
                        <w:rStyle w:val="Pagenumber"/>
                        <w:rFonts w:cs="Times New Roman"/>
                        <w:color w:val="auto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Pagenumber"/>
                        <w:sz w:val="24"/>
                        <w:szCs w:val="24"/>
                        <w:rFonts w:cs="Times New Roman"/>
                      </w:rPr>
                      <w:instrText> PAGE </w:instrText>
                    </w:r>
                    <w:r>
                      <w:rPr>
                        <w:rStyle w:val="Pagenumber"/>
                        <w:sz w:val="24"/>
                        <w:szCs w:val="24"/>
                        <w:rFonts w:cs="Times New Roman"/>
                      </w:rPr>
                      <w:fldChar w:fldCharType="separate"/>
                    </w:r>
                    <w:r>
                      <w:rPr>
                        <w:rStyle w:val="Pagenumber"/>
                        <w:sz w:val="24"/>
                        <w:szCs w:val="24"/>
                        <w:rFonts w:cs="Times New Roman"/>
                      </w:rPr>
                      <w:t>11</w:t>
                    </w:r>
                    <w:r>
                      <w:rPr>
                        <w:rStyle w:val="Pagenumber"/>
                        <w:sz w:val="24"/>
                        <w:szCs w:val="24"/>
                        <w:rFonts w:cs="Times New Roman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kern w:val="2"/>
        <w:sz w:val="20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  <w:textAlignment w:val="auto"/>
    </w:pPr>
    <w:rPr>
      <w:rFonts w:ascii="Times New Roman" w:hAnsi="Times New Roman" w:eastAsia="Tahoma" w:cs="Times New Roman"/>
      <w:color w:val="auto"/>
      <w:kern w:val="2"/>
      <w:sz w:val="24"/>
      <w:szCs w:val="24"/>
      <w:lang w:val="pt-BR" w:eastAsia="pt-BR" w:bidi="ar-SA"/>
    </w:rPr>
  </w:style>
  <w:style w:type="character" w:styleId="DefaultParagraphFont">
    <w:name w:val="Default Paragraph Font"/>
    <w:qFormat/>
    <w:rPr/>
  </w:style>
  <w:style w:type="character" w:styleId="06PargrafodetextoCLGChar">
    <w:name w:val="06 - Parágrafo de texto - CLG Char"/>
    <w:basedOn w:val="DefaultParagraphFont"/>
    <w:qFormat/>
    <w:rPr>
      <w:rFonts w:cs="Times New Roman"/>
      <w:sz w:val="28"/>
      <w:lang w:val="pt-BR" w:eastAsia="pt-BR" w:bidi="ar-SA"/>
    </w:rPr>
  </w:style>
  <w:style w:type="character" w:styleId="Pagenumber">
    <w:name w:val="page number"/>
    <w:basedOn w:val="DefaultParagraphFont"/>
    <w:qFormat/>
    <w:rPr>
      <w:rFonts w:cs="Times New Roman"/>
    </w:rPr>
  </w:style>
  <w:style w:type="character" w:styleId="04RelatoriaCLGChar">
    <w:name w:val="04 - Relatoria - CLG Char"/>
    <w:basedOn w:val="DefaultParagraphFont"/>
    <w:qFormat/>
    <w:rPr>
      <w:rFonts w:cs="Times New Roman"/>
      <w:sz w:val="28"/>
      <w:lang w:val="pt-BR" w:eastAsia="pt-BR" w:bidi="ar-SA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Free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FreeSans"/>
    </w:rPr>
  </w:style>
  <w:style w:type="paragraph" w:styleId="DocumentMap">
    <w:name w:val="DocumentMap"/>
    <w:qFormat/>
    <w:pPr>
      <w:widowControl/>
      <w:bidi w:val="0"/>
      <w:jc w:val="left"/>
      <w:textAlignment w:val="auto"/>
    </w:pPr>
    <w:rPr>
      <w:rFonts w:ascii="Times New Roman" w:hAnsi="Times New Roman" w:eastAsia="Tahoma" w:cs="Times New Roman"/>
      <w:color w:val="auto"/>
      <w:kern w:val="2"/>
      <w:sz w:val="20"/>
      <w:szCs w:val="20"/>
      <w:lang w:val="pt-BR" w:eastAsia="pt-BR" w:bidi="hi-IN"/>
    </w:rPr>
  </w:style>
  <w:style w:type="paragraph" w:styleId="06PargrafodetextoCLG">
    <w:name w:val="06 - Parágrafo de texto - CLG"/>
    <w:qFormat/>
    <w:pPr>
      <w:widowControl/>
      <w:bidi w:val="0"/>
      <w:spacing w:before="0" w:after="360"/>
      <w:ind w:firstLine="1418"/>
      <w:jc w:val="both"/>
      <w:textAlignment w:val="auto"/>
    </w:pPr>
    <w:rPr>
      <w:rFonts w:ascii="Times New Roman" w:hAnsi="Times New Roman" w:eastAsia="Tahoma" w:cs="Times New Roman"/>
      <w:color w:val="auto"/>
      <w:kern w:val="2"/>
      <w:sz w:val="28"/>
      <w:szCs w:val="20"/>
      <w:lang w:val="pt-BR" w:eastAsia="pt-BR" w:bidi="ar-SA"/>
    </w:rPr>
  </w:style>
  <w:style w:type="paragraph" w:styleId="07CitaolegalCLG">
    <w:name w:val="07 - Citação legal - CLG"/>
    <w:qFormat/>
    <w:pPr>
      <w:widowControl/>
      <w:bidi w:val="0"/>
      <w:spacing w:before="0" w:after="120"/>
      <w:ind w:left="1985" w:firstLine="567"/>
      <w:jc w:val="both"/>
      <w:textAlignment w:val="auto"/>
    </w:pPr>
    <w:rPr>
      <w:rFonts w:ascii="Times New Roman" w:hAnsi="Times New Roman" w:eastAsia="Tahoma" w:cs="Times New Roman"/>
      <w:bCs/>
      <w:color w:val="auto"/>
      <w:kern w:val="2"/>
      <w:sz w:val="24"/>
      <w:szCs w:val="20"/>
      <w:lang w:val="pt-BR" w:eastAsia="pt-BR" w:bidi="ar-SA"/>
    </w:rPr>
  </w:style>
  <w:style w:type="paragraph" w:styleId="09TtuloemendaCLG">
    <w:name w:val="09 - Título emenda - CLG"/>
    <w:qFormat/>
    <w:pPr>
      <w:widowControl/>
      <w:bidi w:val="0"/>
      <w:spacing w:before="480" w:after="360"/>
      <w:jc w:val="center"/>
      <w:textAlignment w:val="auto"/>
    </w:pPr>
    <w:rPr>
      <w:rFonts w:ascii="Times New Roman" w:hAnsi="Times New Roman" w:eastAsia="Tahoma" w:cs="Times New Roman"/>
      <w:b/>
      <w:bCs/>
      <w:color w:val="auto"/>
      <w:spacing w:val="-4"/>
      <w:kern w:val="2"/>
      <w:sz w:val="28"/>
      <w:szCs w:val="20"/>
      <w:lang w:val="pt-BR" w:eastAsia="pt-BR" w:bidi="ar-SA"/>
    </w:rPr>
  </w:style>
  <w:style w:type="paragraph" w:styleId="NormalWeb">
    <w:name w:val="Normal (Web)"/>
    <w:basedOn w:val="Normal"/>
    <w:qFormat/>
    <w:pPr>
      <w:widowControl/>
      <w:spacing w:beforeAutospacing="1" w:afterAutospacing="1"/>
      <w:jc w:val="left"/>
      <w:textAlignment w:val="auto"/>
    </w:pPr>
    <w:rPr>
      <w:rFonts w:ascii="Verdana" w:hAnsi="Verdana" w:eastAsia="Arial Unicode MS" w:cs="Verdana"/>
      <w:sz w:val="24"/>
      <w:szCs w:val="24"/>
      <w:lang w:val="pt-BR" w:eastAsia="pt-BR" w:bidi="ar-SA"/>
    </w:rPr>
  </w:style>
  <w:style w:type="paragraph" w:styleId="BalloonText">
    <w:name w:val="Balloon Text"/>
    <w:basedOn w:val="Normal"/>
    <w:qFormat/>
    <w:pPr>
      <w:widowControl/>
      <w:jc w:val="left"/>
      <w:textAlignment w:val="auto"/>
    </w:pPr>
    <w:rPr>
      <w:rFonts w:ascii="Tahoma" w:hAnsi="Tahoma" w:cs="Tahoma"/>
      <w:sz w:val="16"/>
      <w:szCs w:val="16"/>
      <w:lang w:val="pt-BR" w:eastAsia="pt-BR" w:bidi="ar-SA"/>
    </w:rPr>
  </w:style>
  <w:style w:type="paragraph" w:styleId="Cabealho">
    <w:name w:val="Header"/>
    <w:basedOn w:val="Normal"/>
    <w:pPr>
      <w:widowControl/>
      <w:tabs>
        <w:tab w:val="clear" w:pos="708"/>
        <w:tab w:val="center" w:pos="4252" w:leader="none"/>
        <w:tab w:val="right" w:pos="8504" w:leader="none"/>
      </w:tabs>
      <w:jc w:val="left"/>
      <w:textAlignment w:val="auto"/>
    </w:pPr>
    <w:rPr>
      <w:rFonts w:cs="Times New Roman"/>
      <w:sz w:val="24"/>
      <w:szCs w:val="24"/>
      <w:lang w:val="pt-BR" w:eastAsia="pt-BR" w:bidi="ar-SA"/>
    </w:rPr>
  </w:style>
  <w:style w:type="paragraph" w:styleId="Rodap">
    <w:name w:val="Footer"/>
    <w:basedOn w:val="Normal"/>
    <w:pPr>
      <w:widowControl/>
      <w:tabs>
        <w:tab w:val="clear" w:pos="708"/>
        <w:tab w:val="center" w:pos="4252" w:leader="none"/>
        <w:tab w:val="right" w:pos="8504" w:leader="none"/>
      </w:tabs>
      <w:jc w:val="left"/>
      <w:textAlignment w:val="auto"/>
    </w:pPr>
    <w:rPr>
      <w:rFonts w:cs="Times New Roman"/>
      <w:sz w:val="24"/>
      <w:szCs w:val="24"/>
      <w:lang w:val="pt-BR" w:eastAsia="pt-BR" w:bidi="ar-SA"/>
    </w:rPr>
  </w:style>
  <w:style w:type="paragraph" w:styleId="04RelatoriaCLG">
    <w:name w:val="04 - Relatoria - CLG"/>
    <w:qFormat/>
    <w:pPr>
      <w:widowControl/>
      <w:bidi w:val="0"/>
      <w:spacing w:before="0" w:after="960"/>
      <w:ind w:left="1440" w:hanging="0"/>
      <w:jc w:val="left"/>
      <w:textAlignment w:val="auto"/>
    </w:pPr>
    <w:rPr>
      <w:rFonts w:ascii="Times New Roman" w:hAnsi="Times New Roman" w:eastAsia="Tahoma" w:cs="Times New Roman"/>
      <w:color w:val="auto"/>
      <w:kern w:val="2"/>
      <w:sz w:val="28"/>
      <w:szCs w:val="20"/>
      <w:lang w:val="pt-BR" w:eastAsia="pt-BR" w:bidi="ar-SA"/>
    </w:rPr>
  </w:style>
  <w:style w:type="paragraph" w:styleId="Contedodoquadro">
    <w:name w:val="Conteúdo do quadro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39</TotalTime>
  <Application>LibreOffice/6.1.5.2$Linux_X86_64 LibreOffice_project/10$Build-2</Application>
  <Pages>11</Pages>
  <Words>3006</Words>
  <Characters>18981</Characters>
  <CharactersWithSpaces>21902</CharactersWithSpaces>
  <Paragraphs>124</Paragraphs>
  <Company>Senado Federal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2009-12-21T10:41:00Z</dcterms:created>
  <dc:creator>edias</dc:creator>
  <dc:description/>
  <dc:language>pt-BR</dc:language>
  <cp:lastModifiedBy/>
  <cp:lastPrinted>2009-12-09T17:59:00Z</cp:lastPrinted>
  <dcterms:modified xsi:type="dcterms:W3CDTF">2019-05-15T16:19:05Z</dcterms:modified>
  <cp:revision>19</cp:revision>
  <dc:subject/>
  <dc:title>EMENDA Nº        – CAE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Senado Federal</vt:lpwstr>
  </property>
  <property fmtid="{D5CDD505-2E9C-101B-9397-08002B2CF9AE}" pid="3" name="Operator">
    <vt:lpwstr>edias</vt:lpwstr>
  </property>
</Properties>
</file>